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B" w:rsidRDefault="00980BDB">
      <w:pPr>
        <w:pStyle w:val="ConsPlusNormal"/>
        <w:jc w:val="both"/>
        <w:outlineLvl w:val="0"/>
      </w:pPr>
    </w:p>
    <w:p w:rsidR="00980BDB" w:rsidRDefault="00980BDB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980BDB" w:rsidRDefault="00980BDB">
      <w:pPr>
        <w:pStyle w:val="ConsPlusTitle"/>
        <w:jc w:val="center"/>
      </w:pPr>
    </w:p>
    <w:p w:rsidR="00980BDB" w:rsidRDefault="00980BDB">
      <w:pPr>
        <w:pStyle w:val="ConsPlusTitle"/>
        <w:jc w:val="center"/>
      </w:pPr>
      <w:r>
        <w:t>ФЕДЕРАЛЬНАЯ СЛУЖБА ГОСУДАРСТВЕННОЙ СТАТИСТИКИ</w:t>
      </w:r>
    </w:p>
    <w:p w:rsidR="00980BDB" w:rsidRDefault="00980BDB">
      <w:pPr>
        <w:pStyle w:val="ConsPlusTitle"/>
        <w:jc w:val="center"/>
      </w:pPr>
    </w:p>
    <w:p w:rsidR="00980BDB" w:rsidRDefault="00980BDB">
      <w:pPr>
        <w:pStyle w:val="ConsPlusTitle"/>
        <w:jc w:val="center"/>
      </w:pPr>
      <w:r>
        <w:t>ПРИКАЗ</w:t>
      </w:r>
    </w:p>
    <w:p w:rsidR="00980BDB" w:rsidRDefault="00980BDB">
      <w:pPr>
        <w:pStyle w:val="ConsPlusTitle"/>
        <w:jc w:val="center"/>
      </w:pPr>
      <w:r>
        <w:t>от 18 октября 2022 г. N 707</w:t>
      </w:r>
    </w:p>
    <w:p w:rsidR="00980BDB" w:rsidRDefault="00980BDB">
      <w:pPr>
        <w:pStyle w:val="ConsPlusTitle"/>
        <w:jc w:val="center"/>
      </w:pPr>
    </w:p>
    <w:p w:rsidR="00980BDB" w:rsidRDefault="00980BDB">
      <w:pPr>
        <w:pStyle w:val="ConsPlusTitle"/>
        <w:jc w:val="center"/>
      </w:pPr>
      <w:r>
        <w:t>ОБ УТВЕРЖДЕНИИ ФОРМЫ ФЕДЕРАЛЬНОГО СТАТИСТИЧЕСКОГО НАБЛЮДЕНИЯ</w:t>
      </w:r>
    </w:p>
    <w:p w:rsidR="00980BDB" w:rsidRDefault="00980BDB">
      <w:pPr>
        <w:pStyle w:val="ConsPlusTitle"/>
        <w:jc w:val="center"/>
      </w:pPr>
      <w:r>
        <w:t>С УКАЗАНИЯМИ ПО ЕЕ ЗАПОЛНЕНИЮ ДЛЯ ОРГАНИЗАЦИИ ФЕДЕРАЛЬНОГО</w:t>
      </w:r>
    </w:p>
    <w:p w:rsidR="00980BDB" w:rsidRDefault="00980BDB">
      <w:pPr>
        <w:pStyle w:val="ConsPlusTitle"/>
        <w:jc w:val="center"/>
      </w:pPr>
      <w:r>
        <w:t>СТАТИСТИЧЕСКОГО НАБЛЮДЕНИЯ ЗА ДЕЯТЕЛЬНОСТЬЮ</w:t>
      </w:r>
    </w:p>
    <w:p w:rsidR="00980BDB" w:rsidRDefault="00980BDB">
      <w:pPr>
        <w:pStyle w:val="ConsPlusTitle"/>
        <w:jc w:val="center"/>
      </w:pPr>
      <w:r>
        <w:t>РЕЛИГИОЗНЫХ ОРГАНИЗАЦИЙ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r:id="rId7" w:history="1">
        <w:r>
          <w:rPr>
            <w:color w:val="0000FF"/>
          </w:rPr>
          <w:t>позиции 1.32.19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1. Утвердить годовую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1-СОНКО(Р) "Сведения о деятельности религиозной организации" с указаниями по ее заполнению и ввести ее в действие с отчета за 2022 год (приложение).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2. Первичные статистические данные по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наблюдения, утвержденной настоящим приказом, предоставляются в соответствии с указаниями по ее заполнению по адресам, в сроки и с периодичностью, которые указаны на бланке этой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формы</w:t>
        </w:r>
      </w:hyperlink>
      <w:r>
        <w:t>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С введением в действие утвержденной настоящим приказом формы федерального статистического наблюдения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Росстата от 1 октября 2021 г. N 613 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организаций".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right"/>
      </w:pPr>
      <w:r>
        <w:t>Руководитель</w:t>
      </w:r>
    </w:p>
    <w:p w:rsidR="00980BDB" w:rsidRDefault="00980BDB">
      <w:pPr>
        <w:pStyle w:val="ConsPlusNormal"/>
        <w:jc w:val="right"/>
      </w:pPr>
      <w:r>
        <w:t>С.С.ГАЛКИН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both"/>
      </w:pPr>
    </w:p>
    <w:p w:rsidR="00C02676" w:rsidRDefault="00C02676">
      <w:pPr>
        <w:pStyle w:val="ConsPlusNormal"/>
        <w:jc w:val="both"/>
      </w:pPr>
    </w:p>
    <w:p w:rsidR="00C02676" w:rsidRDefault="00C02676">
      <w:pPr>
        <w:pStyle w:val="ConsPlusNormal"/>
        <w:jc w:val="both"/>
      </w:pPr>
    </w:p>
    <w:p w:rsidR="00C02676" w:rsidRDefault="00C02676">
      <w:pPr>
        <w:pStyle w:val="ConsPlusNormal"/>
        <w:jc w:val="both"/>
      </w:pPr>
    </w:p>
    <w:p w:rsidR="00C02676" w:rsidRDefault="00C02676">
      <w:pPr>
        <w:pStyle w:val="ConsPlusNormal"/>
        <w:jc w:val="both"/>
      </w:pPr>
    </w:p>
    <w:p w:rsidR="00C02676" w:rsidRDefault="00C02676">
      <w:pPr>
        <w:pStyle w:val="ConsPlusNormal"/>
        <w:jc w:val="both"/>
      </w:pPr>
    </w:p>
    <w:p w:rsidR="00C02676" w:rsidRDefault="00C02676">
      <w:pPr>
        <w:pStyle w:val="ConsPlusNormal"/>
        <w:jc w:val="both"/>
      </w:pP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right"/>
        <w:outlineLvl w:val="0"/>
      </w:pPr>
      <w:r>
        <w:t>Приложение</w:t>
      </w:r>
    </w:p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980BDB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980BDB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980BDB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bookmarkStart w:id="0" w:name="Par31"/>
            <w:bookmarkEnd w:id="0"/>
            <w:r>
              <w:t>СВЕДЕНИЯ О ДЕЯТЕЛЬНОСТИ РЕЛИГИОЗНОЙ ОРГАНИЗАЦИИ</w:t>
            </w:r>
          </w:p>
          <w:p w:rsidR="00980BDB" w:rsidRDefault="00980BDB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5"/>
        <w:gridCol w:w="1928"/>
        <w:gridCol w:w="340"/>
        <w:gridCol w:w="2665"/>
      </w:tblGrid>
      <w:tr w:rsidR="00980B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Форма N 1-СОНКО(Р)</w:t>
            </w:r>
          </w:p>
        </w:tc>
      </w:tr>
      <w:tr w:rsidR="00980BDB"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юридические лица - некоммерческие организации, являющиеся религиозными:</w:t>
            </w:r>
          </w:p>
          <w:p w:rsidR="00980BDB" w:rsidRDefault="00980BDB">
            <w:pPr>
              <w:pStyle w:val="ConsPlusNormal"/>
              <w:ind w:left="284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с 15 февраля по 1 апреля</w:t>
            </w: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Приказ Росстата:</w:t>
            </w:r>
          </w:p>
          <w:p w:rsidR="00980BDB" w:rsidRDefault="00980BDB">
            <w:pPr>
              <w:pStyle w:val="ConsPlusNormal"/>
              <w:jc w:val="center"/>
            </w:pPr>
            <w:r>
              <w:t>Об утверждении формы от 18.10.2022 N 707</w:t>
            </w:r>
          </w:p>
          <w:p w:rsidR="00980BDB" w:rsidRDefault="00980BDB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980BDB" w:rsidRDefault="00980BDB">
            <w:pPr>
              <w:pStyle w:val="ConsPlusNormal"/>
              <w:jc w:val="center"/>
            </w:pPr>
            <w:r>
              <w:t>от __________ N ___</w:t>
            </w:r>
          </w:p>
          <w:p w:rsidR="00980BDB" w:rsidRDefault="00980BDB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980BDB"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5"/>
        <w:gridCol w:w="2569"/>
        <w:gridCol w:w="2569"/>
        <w:gridCol w:w="2570"/>
      </w:tblGrid>
      <w:tr w:rsidR="00980BDB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bookmarkStart w:id="1" w:name="Par49"/>
            <w:bookmarkEnd w:id="1"/>
            <w:r>
              <w:t>Наименование отчитывающейся организации _________________________________</w:t>
            </w:r>
          </w:p>
        </w:tc>
      </w:tr>
      <w:tr w:rsidR="00980BDB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bookmarkStart w:id="2" w:name="Par50"/>
            <w:bookmarkEnd w:id="2"/>
            <w:r>
              <w:t>Почтовый адрес __________________________________________________________</w:t>
            </w:r>
          </w:p>
        </w:tc>
      </w:tr>
      <w:tr w:rsidR="00980BDB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bookmarkStart w:id="3" w:name="Par51"/>
            <w:bookmarkEnd w:id="3"/>
            <w:r>
              <w:t>Код формы по ОКУД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Код</w:t>
            </w:r>
          </w:p>
        </w:tc>
      </w:tr>
      <w:tr w:rsidR="00980BDB"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4</w:t>
            </w:r>
          </w:p>
        </w:tc>
      </w:tr>
      <w:tr w:rsidR="00980BD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0608034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</w:tbl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center"/>
        <w:outlineLvl w:val="1"/>
      </w:pPr>
      <w:bookmarkStart w:id="4" w:name="Par65"/>
      <w:bookmarkEnd w:id="4"/>
      <w:r>
        <w:t>Раздел 1. Виды деятельности, которые организация</w:t>
      </w:r>
    </w:p>
    <w:p w:rsidR="00980BDB" w:rsidRDefault="00980BDB">
      <w:pPr>
        <w:pStyle w:val="ConsPlusNormal"/>
        <w:jc w:val="center"/>
      </w:pPr>
      <w:r>
        <w:t>в соответствии с ее уставом осуществляла в отчетном году</w:t>
      </w:r>
    </w:p>
    <w:p w:rsidR="00980BDB" w:rsidRDefault="00980BDB">
      <w:pPr>
        <w:pStyle w:val="ConsPlusNormal"/>
        <w:jc w:val="center"/>
      </w:pPr>
      <w:r>
        <w:t>(обвести кружком соответствующие номера строк)</w:t>
      </w:r>
    </w:p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0"/>
        <w:gridCol w:w="1134"/>
      </w:tblGrid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N строки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2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 xml:space="preserve">Профилактика социального сиротства, поддержка материнства и детства, включая социальную реабилитацию детей-сирот, детей, оставшихся без </w:t>
            </w:r>
            <w:r>
              <w:lastRenderedPageBreak/>
              <w:t>попечения родителей, безнадзорных детей, детей, находящихся в трудной жизненной ситуации, а также содействие укреплению престижа и роли семьи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5" w:name="Par74"/>
            <w:bookmarkEnd w:id="5"/>
            <w:r>
              <w:lastRenderedPageBreak/>
              <w:t>01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lastRenderedPageBreak/>
              <w:t>Повышение качества жизни людей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02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Социальная адаптация инвалидов и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6" w:name="Par78"/>
            <w:bookmarkEnd w:id="6"/>
            <w:r>
              <w:t>03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 xml:space="preserve">Социальная поддержка и защита граждан, за исключением видов деятельности, указанных в </w:t>
            </w:r>
            <w:hyperlink w:anchor="Par74" w:tooltip="01" w:history="1">
              <w:r>
                <w:rPr>
                  <w:color w:val="0000FF"/>
                </w:rPr>
                <w:t>строках 01</w:t>
              </w:r>
            </w:hyperlink>
            <w:r>
              <w:t xml:space="preserve"> - </w:t>
            </w:r>
            <w:hyperlink w:anchor="Par78" w:tooltip="0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04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Благотворительная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12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Содействие благотворительной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13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Деятельность в области добровольчества (волонтерства)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14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Деятельность в области образования, просвещения, науки, содействие такой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7" w:name="Par88"/>
            <w:bookmarkEnd w:id="7"/>
            <w:r>
              <w:t>15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Деятельность в сфере патриотического, в том числе военно-патриотического, духовно-нравственного воспитания граждан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8" w:name="Par90"/>
            <w:bookmarkEnd w:id="8"/>
            <w:r>
              <w:t>18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 xml:space="preserve">Деятельность в области улучшения морально-психологического состояния граждан и духовного развития личности, содействие такой деятельности, за исключением видов деятельности, указанных в </w:t>
            </w:r>
            <w:hyperlink w:anchor="Par88" w:tooltip="15" w:history="1">
              <w:r>
                <w:rPr>
                  <w:color w:val="0000FF"/>
                </w:rPr>
                <w:t>строках 15</w:t>
              </w:r>
            </w:hyperlink>
            <w:r>
              <w:t xml:space="preserve"> и </w:t>
            </w:r>
            <w:hyperlink w:anchor="Par90" w:tooltip="18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19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Развитие межнационального сотрудничества (включая содействие укреплению мира, дружбы и согласия между народами, предотвращению национальных и религиозных конфликтов), сохранение и защита самобытности, культуры, языка и традиций народов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9" w:name="Par94"/>
            <w:bookmarkEnd w:id="9"/>
            <w:r>
              <w:t>21</w:t>
            </w:r>
          </w:p>
        </w:tc>
      </w:tr>
      <w:tr w:rsidR="00980BD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 xml:space="preserve">Иные виды деятельности, направленные на решение социальных проблем, развитие гражданского общества в Российской Федерации, установленные законами субъектов Российской Федерации и (или) нормативными правовыми актами представительных органов муниципальных образований для признания некоммерческих организаций социально ориентированными, за исключением видов деятельности, указанных в </w:t>
            </w:r>
            <w:hyperlink w:anchor="Par74" w:tooltip="01" w:history="1">
              <w:r>
                <w:rPr>
                  <w:color w:val="0000FF"/>
                </w:rPr>
                <w:t>строках 01</w:t>
              </w:r>
            </w:hyperlink>
            <w:r>
              <w:t xml:space="preserve"> - </w:t>
            </w:r>
            <w:hyperlink w:anchor="Par94" w:tooltip="2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0" w:name="Par96"/>
            <w:bookmarkEnd w:id="10"/>
            <w:r>
              <w:t>31</w:t>
            </w:r>
          </w:p>
        </w:tc>
      </w:tr>
    </w:tbl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center"/>
        <w:outlineLvl w:val="1"/>
      </w:pPr>
      <w:bookmarkStart w:id="11" w:name="Par98"/>
      <w:bookmarkEnd w:id="11"/>
      <w:r>
        <w:t>Раздел 2. Источники и объемы формирования денежных средств</w:t>
      </w:r>
    </w:p>
    <w:p w:rsidR="00980BDB" w:rsidRDefault="00980BDB">
      <w:pPr>
        <w:pStyle w:val="ConsPlusNormal"/>
        <w:jc w:val="center"/>
      </w:pPr>
      <w:r>
        <w:t>и иного имущества организации, тысяча рублей</w:t>
      </w:r>
    </w:p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1361"/>
        <w:gridCol w:w="1984"/>
      </w:tblGrid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3</w:t>
            </w: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lastRenderedPageBreak/>
              <w:t>Целевые поступления 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2" w:name="Par108"/>
            <w:bookmarkEnd w:id="12"/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Гранты от некоммерческих неправительственных организаций, участвующих в развитии институтов гражданского общества, предоставленные за счет субсидий 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3" w:name="Par111"/>
            <w:bookmarkEnd w:id="13"/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Целевые поступления из бюджетов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4" w:name="Par114"/>
            <w:bookmarkEnd w:id="14"/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Целевые поступления из муниципальных (местных)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Целевые поступления из государственных внебюджетных фондов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5" w:name="Par120"/>
            <w:bookmarkEnd w:id="15"/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 xml:space="preserve">Пожертвования, добровольные взносы, включая имущественные, и иные целевые поступления, гранты (за исключением грантов, указанных в </w:t>
            </w:r>
            <w:hyperlink w:anchor="Par111" w:tooltip="41" w:history="1">
              <w:r>
                <w:rPr>
                  <w:color w:val="0000FF"/>
                </w:rPr>
                <w:t>строке 41</w:t>
              </w:r>
            </w:hyperlink>
            <w:r>
              <w:t xml:space="preserve">) </w:t>
            </w:r>
            <w:hyperlink w:anchor="Par146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6" w:name="Par123"/>
            <w:bookmarkEnd w:id="16"/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в том числе полученные от:</w:t>
            </w:r>
          </w:p>
          <w:p w:rsidR="00980BDB" w:rsidRDefault="00980BDB">
            <w:pPr>
              <w:pStyle w:val="ConsPlusNormal"/>
              <w:ind w:left="284"/>
            </w:pPr>
            <w:r>
              <w:t>российских юридических лиц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7" w:name="Par127"/>
            <w:bookmarkEnd w:id="17"/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иностранных и международных юридических лиц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8" w:name="Par130"/>
            <w:bookmarkEnd w:id="18"/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иностранных граждан и (или) лиц без гражданства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19" w:name="Par136"/>
            <w:bookmarkEnd w:id="19"/>
            <w: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 xml:space="preserve">Доходы от предпринимательской и (или) иной приносящей доход деятельности </w:t>
            </w:r>
            <w:hyperlink w:anchor="Par146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20" w:name="Par139"/>
            <w:bookmarkEnd w:id="20"/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 xml:space="preserve">Иные поступления </w:t>
            </w:r>
            <w:hyperlink w:anchor="Par146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21" w:name="Par142"/>
            <w:bookmarkEnd w:id="21"/>
            <w: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</w:tbl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ind w:firstLine="540"/>
        <w:jc w:val="both"/>
      </w:pPr>
      <w:r>
        <w:t>--------------------------------</w:t>
      </w:r>
    </w:p>
    <w:p w:rsidR="00980BDB" w:rsidRDefault="00980BDB">
      <w:pPr>
        <w:pStyle w:val="ConsPlusNormal"/>
        <w:spacing w:before="240"/>
        <w:ind w:firstLine="540"/>
        <w:jc w:val="both"/>
      </w:pPr>
      <w:bookmarkStart w:id="22" w:name="Par146"/>
      <w:bookmarkEnd w:id="22"/>
      <w:r>
        <w:t>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center"/>
        <w:outlineLvl w:val="1"/>
      </w:pPr>
      <w:bookmarkStart w:id="23" w:name="Par148"/>
      <w:bookmarkEnd w:id="23"/>
      <w:r>
        <w:t>Раздел 3. Использование денежных средств и иного имущества</w:t>
      </w:r>
    </w:p>
    <w:p w:rsidR="00980BDB" w:rsidRDefault="00980BDB">
      <w:pPr>
        <w:pStyle w:val="ConsPlusNormal"/>
        <w:jc w:val="center"/>
      </w:pPr>
      <w:r>
        <w:t>религиозной организацией, получившей денежные средства</w:t>
      </w:r>
    </w:p>
    <w:p w:rsidR="00980BDB" w:rsidRDefault="00980BDB">
      <w:pPr>
        <w:pStyle w:val="ConsPlusNormal"/>
        <w:jc w:val="center"/>
      </w:pPr>
      <w:r>
        <w:t>и иное имущество от международных и иностранных организаций,</w:t>
      </w:r>
    </w:p>
    <w:p w:rsidR="00980BDB" w:rsidRDefault="00980BDB">
      <w:pPr>
        <w:pStyle w:val="ConsPlusNormal"/>
        <w:jc w:val="center"/>
      </w:pPr>
      <w:r>
        <w:t>иностранных граждан и лиц без гражданства, тысяча рублей</w:t>
      </w:r>
    </w:p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1361"/>
        <w:gridCol w:w="1984"/>
      </w:tblGrid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3</w:t>
            </w: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Расходы на основную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bookmarkStart w:id="24" w:name="Par160"/>
            <w:bookmarkEnd w:id="24"/>
            <w: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</w:pPr>
            <w:r>
              <w:t>Расходы на благотворительную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bookmarkStart w:id="25" w:name="Par163"/>
            <w:bookmarkEnd w:id="25"/>
            <w: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из них физическим лицам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bookmarkStart w:id="26" w:name="Par166"/>
            <w:bookmarkEnd w:id="26"/>
            <w: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ind w:left="567"/>
            </w:pPr>
            <w:r>
              <w:t>из них в натуральной форме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bookmarkStart w:id="27" w:name="Par169"/>
            <w:bookmarkEnd w:id="27"/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Иные виды расходования денежных средств и иного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bookmarkStart w:id="28" w:name="Par172"/>
            <w:bookmarkEnd w:id="28"/>
            <w: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</w:tbl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center"/>
        <w:outlineLvl w:val="1"/>
      </w:pPr>
      <w:bookmarkStart w:id="29" w:name="Par175"/>
      <w:bookmarkEnd w:id="29"/>
      <w:r>
        <w:t xml:space="preserve">Раздел 4. </w:t>
      </w:r>
      <w:hyperlink w:anchor="Par209" w:tooltip="&lt;1&gt; Заполняется по видам деятельности, предусмотренным разделом 1 данной формы." w:history="1">
        <w:r>
          <w:rPr>
            <w:color w:val="0000FF"/>
          </w:rPr>
          <w:t>&lt;1&gt;</w:t>
        </w:r>
      </w:hyperlink>
      <w:r>
        <w:t xml:space="preserve"> Численность, начисленная заработная плата,</w:t>
      </w:r>
    </w:p>
    <w:p w:rsidR="00980BDB" w:rsidRDefault="00980BDB">
      <w:pPr>
        <w:pStyle w:val="ConsPlusNormal"/>
        <w:jc w:val="center"/>
      </w:pPr>
      <w:r>
        <w:t>выплаты социального характера и страховые взносы</w:t>
      </w:r>
    </w:p>
    <w:p w:rsidR="00980BDB" w:rsidRDefault="00980BDB">
      <w:pPr>
        <w:pStyle w:val="ConsPlusNormal"/>
        <w:jc w:val="center"/>
      </w:pPr>
      <w:r>
        <w:t>на обязательное социальное страхование</w:t>
      </w:r>
    </w:p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1361"/>
        <w:gridCol w:w="1984"/>
      </w:tblGrid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DB" w:rsidRDefault="00980BDB">
            <w:pPr>
              <w:pStyle w:val="ConsPlusNormal"/>
              <w:jc w:val="center"/>
            </w:pPr>
            <w:r>
              <w:t>3</w:t>
            </w: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Среднесписочная численность работников (без внешних совместителей и работников несписочного состава), чел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30" w:name="Par186"/>
            <w:bookmarkEnd w:id="30"/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Фонд начисленной заработной платы работникам - всего, тыс 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31" w:name="Par189"/>
            <w:bookmarkEnd w:id="31"/>
            <w: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в том числе:</w:t>
            </w:r>
          </w:p>
          <w:p w:rsidR="00980BDB" w:rsidRDefault="00980BDB">
            <w:pPr>
              <w:pStyle w:val="ConsPlusNormal"/>
              <w:ind w:left="284"/>
            </w:pPr>
            <w:r>
              <w:t>работникам списочного состава (без внешних совместителей), тыс 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32" w:name="Par193"/>
            <w:bookmarkEnd w:id="32"/>
            <w: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внешним совместителям, тыс 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работникам, выполнявшим работы по договорам гражданско-правового характера, и другим лицам несписочного состава, тыс 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33" w:name="Par199"/>
            <w:bookmarkEnd w:id="33"/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Выплаты социального характера работникам - всего, тыс 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34" w:name="Par202"/>
            <w:bookmarkEnd w:id="34"/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Страховые взносы на обязательное социальное страхование - всего, тыс 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35" w:name="Par205"/>
            <w:bookmarkEnd w:id="35"/>
            <w: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</w:tbl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ind w:firstLine="540"/>
        <w:jc w:val="both"/>
      </w:pPr>
      <w:r>
        <w:t>--------------------------------</w:t>
      </w:r>
    </w:p>
    <w:p w:rsidR="00980BDB" w:rsidRDefault="00980BDB">
      <w:pPr>
        <w:pStyle w:val="ConsPlusNormal"/>
        <w:spacing w:before="240"/>
        <w:ind w:firstLine="540"/>
        <w:jc w:val="both"/>
      </w:pPr>
      <w:bookmarkStart w:id="36" w:name="Par209"/>
      <w:bookmarkEnd w:id="36"/>
      <w:r>
        <w:t xml:space="preserve">&lt;1&gt; Заполняется по видам деятельности, предусмотренным </w:t>
      </w:r>
      <w:hyperlink w:anchor="Par65" w:tooltip="Раздел 1. Виды деятельности, которые организация" w:history="1">
        <w:r>
          <w:rPr>
            <w:color w:val="0000FF"/>
          </w:rPr>
          <w:t>разделом 1</w:t>
        </w:r>
      </w:hyperlink>
      <w:r>
        <w:t xml:space="preserve"> данной формы.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center"/>
        <w:outlineLvl w:val="1"/>
      </w:pPr>
      <w:bookmarkStart w:id="37" w:name="Par211"/>
      <w:bookmarkEnd w:id="37"/>
      <w:r>
        <w:lastRenderedPageBreak/>
        <w:t xml:space="preserve">Раздел 5. </w:t>
      </w:r>
      <w:hyperlink w:anchor="Par274" w:tooltip="&lt;1&gt; Заполняется по видам деятельности, предусмотренным разделом 1 данной формы." w:history="1">
        <w:r>
          <w:rPr>
            <w:color w:val="0000FF"/>
          </w:rPr>
          <w:t>&lt;1&gt;</w:t>
        </w:r>
      </w:hyperlink>
      <w:r>
        <w:t xml:space="preserve"> Наличие, движение и состав основных фондов,</w:t>
      </w:r>
    </w:p>
    <w:p w:rsidR="00980BDB" w:rsidRDefault="00980BDB">
      <w:pPr>
        <w:pStyle w:val="ConsPlusNormal"/>
        <w:jc w:val="center"/>
      </w:pPr>
      <w:r>
        <w:t>тысяча рублей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sectPr w:rsidR="00980BDB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642"/>
        <w:gridCol w:w="834"/>
        <w:gridCol w:w="1633"/>
        <w:gridCol w:w="847"/>
        <w:gridCol w:w="795"/>
        <w:gridCol w:w="2461"/>
      </w:tblGrid>
      <w:tr w:rsidR="00980BDB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Наличие на начало года по полной учетной стоимости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Создание новой стоимости (ввод в действие новых основных фондов, модернизация, реконструкция) за отчетный год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Наличие на конец года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Справочно: инвестиции в основной капитал (затраты на строительство и реконструкцию объектов, приобретение новых основных средств, а также основных средств, поступивших по импорту) за отчетный год</w:t>
            </w:r>
          </w:p>
        </w:tc>
      </w:tr>
      <w:tr w:rsidR="00980BDB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по полной учетной стоимости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по остаточной балансовой стоимости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</w:p>
        </w:tc>
      </w:tr>
      <w:tr w:rsidR="00980B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bookmarkStart w:id="38" w:name="Par224"/>
            <w:bookmarkEnd w:id="38"/>
            <w: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bookmarkStart w:id="39" w:name="Par225"/>
            <w:bookmarkEnd w:id="39"/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bookmarkStart w:id="40" w:name="Par226"/>
            <w:bookmarkEnd w:id="40"/>
            <w: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bookmarkStart w:id="41" w:name="Par227"/>
            <w:bookmarkEnd w:id="41"/>
            <w: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bookmarkStart w:id="42" w:name="Par228"/>
            <w:bookmarkEnd w:id="42"/>
            <w:r>
              <w:t>7</w:t>
            </w:r>
          </w:p>
        </w:tc>
      </w:tr>
      <w:tr w:rsidR="00980B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  <w:r>
              <w:t>Всего основных фондов (за исключением земельных участков и объектов природопользования)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43" w:name="Par230"/>
            <w:bookmarkEnd w:id="43"/>
            <w: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в том числе:</w:t>
            </w:r>
          </w:p>
          <w:p w:rsidR="00980BDB" w:rsidRDefault="00980BDB">
            <w:pPr>
              <w:pStyle w:val="ConsPlusNormal"/>
              <w:ind w:left="284"/>
            </w:pPr>
            <w:r>
              <w:t>здания (жилые и нежилые здания, жилые и нежилые помещения, квартиры)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44" w:name="Par238"/>
            <w:bookmarkEnd w:id="44"/>
            <w:r>
              <w:t>71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сооружения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45" w:name="Par245"/>
            <w:bookmarkEnd w:id="45"/>
            <w: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машины и оборудование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46" w:name="Par252"/>
            <w:bookmarkEnd w:id="46"/>
            <w: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>транспортные средства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47" w:name="Par259"/>
            <w:bookmarkEnd w:id="47"/>
            <w:r>
              <w:t>74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ind w:left="284"/>
            </w:pPr>
            <w:r>
              <w:t xml:space="preserve">другие, не перечисленные выше, виды основных фондов (культивируемые биологические ресурсы, неоднократно </w:t>
            </w:r>
            <w:r>
              <w:lastRenderedPageBreak/>
              <w:t>дающие продукцию животного и растительного происхождения, хозяйственный инвентарь и прочие)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  <w:jc w:val="center"/>
            </w:pPr>
            <w:bookmarkStart w:id="48" w:name="Par266"/>
            <w:bookmarkEnd w:id="48"/>
            <w:r>
              <w:lastRenderedPageBreak/>
              <w:t>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DB" w:rsidRDefault="00980BDB">
            <w:pPr>
              <w:pStyle w:val="ConsPlusNormal"/>
            </w:pPr>
          </w:p>
        </w:tc>
      </w:tr>
    </w:tbl>
    <w:p w:rsidR="00980BDB" w:rsidRDefault="00980BDB">
      <w:pPr>
        <w:pStyle w:val="ConsPlusNormal"/>
        <w:sectPr w:rsidR="00980BDB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ind w:firstLine="540"/>
        <w:jc w:val="both"/>
      </w:pPr>
      <w:r>
        <w:t>--------------------------------</w:t>
      </w:r>
    </w:p>
    <w:p w:rsidR="00980BDB" w:rsidRDefault="00980BDB">
      <w:pPr>
        <w:pStyle w:val="ConsPlusNormal"/>
        <w:spacing w:before="240"/>
        <w:ind w:firstLine="540"/>
        <w:jc w:val="both"/>
      </w:pPr>
      <w:bookmarkStart w:id="49" w:name="Par274"/>
      <w:bookmarkEnd w:id="49"/>
      <w:r>
        <w:t xml:space="preserve">&lt;1&gt; Заполняется по видам деятельности, предусмотренным </w:t>
      </w:r>
      <w:hyperlink w:anchor="Par65" w:tooltip="Раздел 1. Виды деятельности, которые организация" w:history="1">
        <w:r>
          <w:rPr>
            <w:color w:val="0000FF"/>
          </w:rPr>
          <w:t>разделом 1</w:t>
        </w:r>
      </w:hyperlink>
      <w:r>
        <w:t xml:space="preserve"> данной формы.</w:t>
      </w:r>
    </w:p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2325"/>
        <w:gridCol w:w="340"/>
        <w:gridCol w:w="1518"/>
        <w:gridCol w:w="340"/>
        <w:gridCol w:w="1663"/>
        <w:gridCol w:w="340"/>
        <w:gridCol w:w="2152"/>
      </w:tblGrid>
      <w:tr w:rsidR="00980BDB"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3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ind w:firstLine="283"/>
              <w:jc w:val="both"/>
            </w:pPr>
            <w: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51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66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1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  <w:tr w:rsidR="00980BDB"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3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5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1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80BDB"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3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51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6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>E-mail: ______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>"__" _____ 20__ год</w:t>
            </w:r>
          </w:p>
        </w:tc>
      </w:tr>
      <w:tr w:rsidR="00980BDB"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3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5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16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</w:pPr>
          </w:p>
        </w:tc>
        <w:tc>
          <w:tcPr>
            <w:tcW w:w="2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80BDB" w:rsidRDefault="00980BDB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center"/>
        <w:outlineLvl w:val="1"/>
      </w:pPr>
      <w:r>
        <w:t>Указания</w:t>
      </w:r>
    </w:p>
    <w:p w:rsidR="00980BDB" w:rsidRDefault="00980BDB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1-СОНКО(Р) "Сведения о деятельности религиозной организации" (далее - форма) предоставляют юридические лица - некоммерческие организации, являющиеся религиозными.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От Русской Православной Церкви отчитываются епархии. Епархии Русской Православной Церкви включают в свою отчетность сводную информацию всех канонических подразделений, входящих в их состав. Религиозные организации, применяющие упрощенную систему налогообложения, предоставляют данные на общих основаниях.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2. Юридическое лицо заполняет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форму</w:t>
        </w:r>
      </w:hyperlink>
      <w:r>
        <w:t xml:space="preserve"> и предоставляет ее в территориальный орган Росстата по месту своего нахождения.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статье 54</w:t>
        </w:r>
      </w:hyperlink>
      <w:r>
        <w:t xml:space="preserve"> Гражданского кодекса Российской Федерации место нахождения юридического лица определяется местом его государственной регистрации.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При наличии у юридического лица обособленных подразделений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форма</w:t>
        </w:r>
      </w:hyperlink>
      <w:r>
        <w:t xml:space="preserve"> заполняется в целом по юридическому лицу с учетом данных обособленных подразделений &lt;1&gt; (в том числе </w:t>
      </w:r>
      <w:r>
        <w:lastRenderedPageBreak/>
        <w:t>осуществляющих деятельность за пределами Российской Федерации).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4" w:history="1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ind w:firstLine="540"/>
        <w:jc w:val="both"/>
      </w:pPr>
      <w:r>
        <w:t>3. Руководитель юридического лица назначает должностных лиц, уполномоченных предоставлять данные от имени юридического лица.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4. В адресной </w:t>
      </w:r>
      <w:hyperlink w:anchor="Par49" w:tooltip="Наименование отчитывающейся организации _________________________________" w:history="1">
        <w:r>
          <w:rPr>
            <w:color w:val="0000FF"/>
          </w:rPr>
          <w:t>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По </w:t>
      </w:r>
      <w:hyperlink w:anchor="Par50" w:tooltip="Почтовый адрес __________________________________________________________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кодовой </w:t>
      </w:r>
      <w:hyperlink w:anchor="Par51" w:tooltip="Код формы по ОКУД" w:history="1">
        <w:r>
          <w:rPr>
            <w:color w:val="0000FF"/>
          </w:rPr>
          <w:t>части</w:t>
        </w:r>
      </w:hyperlink>
      <w:r>
        <w:t xml:space="preserve">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 код по Общероссийскому классификатору предприятий и организаций (ОКПО).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5. Религиозные организации заполняют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форму</w:t>
        </w:r>
      </w:hyperlink>
      <w:r>
        <w:t xml:space="preserve"> на основе первичных учетных документов, сметы доходов и расходов, документов бухгалтерского, налогового учета.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6. При отсутствии наблюдаемого по форме явления за отчетный период необходимо направить подписанный в установленном порядке отчет по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форме</w:t>
        </w:r>
      </w:hyperlink>
      <w:r>
        <w:t xml:space="preserve">, не заполненный значениями показателей ("пустой" отчет по форме). Во всех представляемых отчетах такого вида должен заполняться исключительно титульный раздел </w:t>
      </w:r>
      <w:hyperlink w:anchor="Par31" w:tooltip="СВЕДЕНИЯ О ДЕЯТЕЛЬНОСТИ РЕЛИГИОЗНОЙ ОРГАНИЗАЦИИ" w:history="1">
        <w:r>
          <w:rPr>
            <w:color w:val="0000FF"/>
          </w:rPr>
          <w:t>формы</w:t>
        </w:r>
      </w:hyperlink>
      <w:r>
        <w:t>, а в остальных разделах не должно указываться никаких значений данных, в том числе нулевых и прочерков.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7. В </w:t>
      </w:r>
      <w:hyperlink w:anchor="Par98" w:tooltip="Раздел 2. Источники и объемы формирования денежных средств" w:history="1">
        <w:r>
          <w:rPr>
            <w:color w:val="0000FF"/>
          </w:rPr>
          <w:t>Разделе 2</w:t>
        </w:r>
      </w:hyperlink>
      <w:r>
        <w:t xml:space="preserve"> "Источники и объемы формирования денежных средств и иного имущества организации" указываются денежные средства и иное имущество (стоимость, по которой оно принято на баланс), полученные религиозной организацией за отчетный год.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108" w:tooltip="40" w:history="1">
        <w:r>
          <w:rPr>
            <w:color w:val="0000FF"/>
          </w:rPr>
          <w:t>строках 40</w:t>
        </w:r>
      </w:hyperlink>
      <w:r>
        <w:t xml:space="preserve">, </w:t>
      </w:r>
      <w:hyperlink w:anchor="Par114" w:tooltip="42" w:history="1">
        <w:r>
          <w:rPr>
            <w:color w:val="0000FF"/>
          </w:rPr>
          <w:t>42</w:t>
        </w:r>
      </w:hyperlink>
      <w:r>
        <w:t xml:space="preserve"> - </w:t>
      </w:r>
      <w:hyperlink w:anchor="Par120" w:tooltip="44" w:history="1">
        <w:r>
          <w:rPr>
            <w:color w:val="0000FF"/>
          </w:rPr>
          <w:t>44</w:t>
        </w:r>
      </w:hyperlink>
      <w:r>
        <w:t xml:space="preserve"> указываются данные о целевых средствах, полученных религиозными организациями из федерального бюджета, бюджетов субъектов Российской Федерации, местных бюджетов, государственных внебюджетных фондов.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w:anchor="Par111" w:tooltip="41" w:history="1">
        <w:r>
          <w:rPr>
            <w:color w:val="0000FF"/>
          </w:rPr>
          <w:t>строке 41</w:t>
        </w:r>
      </w:hyperlink>
      <w:r>
        <w:t xml:space="preserve"> указываются данные о грантах, полученных от Фонда президентских грантов за счет субсидий из федерального бюджета.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Грантами в соответствии с </w:t>
      </w:r>
      <w:hyperlink r:id="rId15" w:history="1">
        <w:r>
          <w:rPr>
            <w:color w:val="0000FF"/>
          </w:rPr>
          <w:t>подпунктом 14 пункта 1 статьи 251</w:t>
        </w:r>
      </w:hyperlink>
      <w:r>
        <w:t xml:space="preserve"> Налогового кодекса Российской Федерации признаются денежные средства или иное имущество в случае, если их передача (получение) удовлетворяет следующим условиям: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гранты предоставляются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науки, физической культуры и спорта (за исключением профессионального спорта), охраны здоровья,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незащищенных категорий граждан, а в случае предоставления грантов Президента Российской Федерации - на осуществление деятельности (программ, проектов), определенной актами Президента Российской Федерации;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гранты предоставляются на условиях, определяемых грантодателем, с обязательным предоставлением грантодателю отчета о целевом использовании гранта.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Строки с </w:t>
      </w:r>
      <w:hyperlink w:anchor="Par123" w:tooltip="45" w:history="1">
        <w:r>
          <w:rPr>
            <w:color w:val="0000FF"/>
          </w:rPr>
          <w:t>45</w:t>
        </w:r>
      </w:hyperlink>
      <w:r>
        <w:t xml:space="preserve"> по </w:t>
      </w:r>
      <w:hyperlink w:anchor="Par142" w:tooltip="51" w:history="1">
        <w:r>
          <w:rPr>
            <w:color w:val="0000FF"/>
          </w:rPr>
          <w:t>51</w:t>
        </w:r>
      </w:hyperlink>
      <w:r>
        <w:t xml:space="preserve"> заполняют религиозные организации, получившие в течение отчетного года денежные средства и иное имущество от международных и иностранных организаций, иностранных граждан, лиц без гражданства.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Если организация в течение отчетного года получила денежные средства только от российских юридических лиц и (или) граждан Российской Федерации, то </w:t>
      </w:r>
      <w:hyperlink w:anchor="Par123" w:tooltip="45" w:history="1">
        <w:r>
          <w:rPr>
            <w:color w:val="0000FF"/>
          </w:rPr>
          <w:t>строки 45</w:t>
        </w:r>
      </w:hyperlink>
      <w:r>
        <w:t xml:space="preserve"> - </w:t>
      </w:r>
      <w:hyperlink w:anchor="Par142" w:tooltip="51" w:history="1">
        <w:r>
          <w:rPr>
            <w:color w:val="0000FF"/>
          </w:rPr>
          <w:t>51 раздела 2</w:t>
        </w:r>
      </w:hyperlink>
      <w:r>
        <w:t xml:space="preserve"> не заполняются.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123" w:tooltip="45" w:history="1">
        <w:r>
          <w:rPr>
            <w:color w:val="0000FF"/>
          </w:rPr>
          <w:t>строке 45</w:t>
        </w:r>
      </w:hyperlink>
      <w:r>
        <w:t xml:space="preserve"> указываются данные о пожертвованиях, добровольных взносах, включая имущественные, и иных целевых поступлениях, грантах, поступивших безвозмездно в виде гуманитарной помощи и других безвозмездных поступлений. Пожертвованием согласно </w:t>
      </w:r>
      <w:hyperlink r:id="rId16" w:history="1">
        <w:r>
          <w:rPr>
            <w:color w:val="0000FF"/>
          </w:rPr>
          <w:t>статье 582</w:t>
        </w:r>
      </w:hyperlink>
      <w:r>
        <w:t xml:space="preserve"> Гражданского кодекса Российской Федерации признается дарение вещи или права в общеполезных целях.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130" w:tooltip="47" w:history="1">
        <w:r>
          <w:rPr>
            <w:color w:val="0000FF"/>
          </w:rPr>
          <w:t>строке 47</w:t>
        </w:r>
      </w:hyperlink>
      <w:r>
        <w:t xml:space="preserve"> указываются данные о денежных средствах или ином имуществе, полученном из-за рубежа от юридических и физических лиц, а также грантах, технической помощи от иностранных государств.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w:anchor="Par139" w:tooltip="50" w:history="1">
        <w:r>
          <w:rPr>
            <w:color w:val="0000FF"/>
          </w:rPr>
          <w:t>строки 50</w:t>
        </w:r>
      </w:hyperlink>
      <w:r>
        <w:t xml:space="preserve"> следует руководствоваться следующим. В соответствии со </w:t>
      </w:r>
      <w:hyperlink r:id="rId17" w:history="1">
        <w:r>
          <w:rPr>
            <w:color w:val="0000FF"/>
          </w:rPr>
          <w:t>статьей 24</w:t>
        </w:r>
      </w:hyperlink>
      <w:r>
        <w:t xml:space="preserve"> Федерального закона от 12 января 1996 г. N 7-ФЗ "О некоммерческих организациях", </w:t>
      </w:r>
      <w:hyperlink r:id="rId18" w:history="1">
        <w:r>
          <w:rPr>
            <w:color w:val="0000FF"/>
          </w:rPr>
          <w:t>статьей 23</w:t>
        </w:r>
      </w:hyperlink>
      <w:r>
        <w:t xml:space="preserve"> Федерального закона от 26 сентября 1997 г. N 125-ФЗ "О свободе совести и о религиозных объединениях" религиозная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организации, а также приобретение и </w:t>
      </w:r>
      <w:r>
        <w:lastRenderedPageBreak/>
        <w:t>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Некоммерческая организация ведет учет доходов и расходов по предпринимательской и иной приносящей доходы деятельности.</w:t>
      </w:r>
    </w:p>
    <w:p w:rsidR="00980BDB" w:rsidRDefault="00980BDB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Положением</w:t>
        </w:r>
      </w:hyperlink>
      <w:r>
        <w:t xml:space="preserve"> по бухгалтерскому учету "Доходы организации" ПБУ 9/99, утвержденным приказом Минфина России от 6 мая 1999 г. N 32н (зарегистрирован Минюстом России 31 мая 1999 г., регистрационный N 1791) (далее - Положение по бухгалтерскому учету "Доходы организации" ПБУ 9/99) установлено, что не признаются доходами организации поступления: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сумм налога на добавленную стоимость, акцизов, налога с продаж, экспортных пошлин и иных аналогичных обязательных платежей;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по договорам комиссии, агентским и иным аналогичным договорам в пользу комитента, принципала и тому подобных;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в порядке предварительной оплаты продукции, товаров, работ, услуг;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авансов в счет оплаты продукции, товаров, работ, услуг;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задатка;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в залог, если договором предусмотрена передача заложенного имущества залогодержателю;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в погашение кредита, займа, предоставленного заемщику.</w:t>
      </w:r>
    </w:p>
    <w:p w:rsidR="00980BDB" w:rsidRDefault="00980BDB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Положением</w:t>
        </w:r>
      </w:hyperlink>
      <w:r>
        <w:t xml:space="preserve"> по бухгалтерскому учету "Доходы организации" ПБУ 9/99 установлено, что к доходам относятся выручка от продажи продукции и товаров, поступления, связанные с выполнением работ, оказанием услуг; поступления, связанные с предоставлением за плату во временное пользование (временное владение и пользование) активов организации; 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собственности; поступления, связанные с участием в уставных капиталах других организаций (включая проценты и иные доходы по ценным бумагам); прибыль, полученная организацией в результате совместной деятельности (по договору простого товарищества); поступления от продажи основных средств и иных активов, отличных от денежных средств (кроме иностранной валюты); 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 штрафы, пени, неустойки за нарушение условий договоров; активы, полученные безвозмездно, в том числе по договору дарения; поступления в возмещение причиненных организации убытков; прибыль прошлых лет, выявленная в отчетном году; суммы кредиторской и депонентской задолженности, по которым истек срок исковой давности; курсовые разницы; сумма дооценки активов; прочие доходы.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142" w:tooltip="51" w:history="1">
        <w:r>
          <w:rPr>
            <w:color w:val="0000FF"/>
          </w:rPr>
          <w:t>строке 51</w:t>
        </w:r>
      </w:hyperlink>
      <w:r>
        <w:t xml:space="preserve"> указываются данные об иных поступлениях, не отраженных в </w:t>
      </w:r>
      <w:hyperlink w:anchor="Par108" w:tooltip="40" w:history="1">
        <w:r>
          <w:rPr>
            <w:color w:val="0000FF"/>
          </w:rPr>
          <w:t>строках 40</w:t>
        </w:r>
      </w:hyperlink>
      <w:r>
        <w:t xml:space="preserve"> - </w:t>
      </w:r>
      <w:hyperlink w:anchor="Par139" w:tooltip="50" w:history="1">
        <w:r>
          <w:rPr>
            <w:color w:val="0000FF"/>
          </w:rPr>
          <w:t>50</w:t>
        </w:r>
      </w:hyperlink>
      <w:r>
        <w:t xml:space="preserve">, в частности, возврат займов, предоставленных другим лицам; средства, формирующие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фонд капитального ремонта общего имущества в многоквартирном доме.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lastRenderedPageBreak/>
        <w:t xml:space="preserve">8. В </w:t>
      </w:r>
      <w:hyperlink w:anchor="Par148" w:tooltip="Раздел 3. Использование денежных средств и иного имущества" w:history="1">
        <w:r>
          <w:rPr>
            <w:color w:val="0000FF"/>
          </w:rPr>
          <w:t>Разделе 3</w:t>
        </w:r>
      </w:hyperlink>
      <w:r>
        <w:t xml:space="preserve"> "Использование денежных средств и иного имущества религиозной организацией, получившей денежные средства и иное имущество от международных иностранных организаций, иностранных граждан и лиц без гражданства" указываются расходы религиозной организации за счет источников, указанных в </w:t>
      </w:r>
      <w:hyperlink w:anchor="Par98" w:tooltip="Раздел 2. Источники и объемы формирования денежных средств" w:history="1">
        <w:r>
          <w:rPr>
            <w:color w:val="0000FF"/>
          </w:rPr>
          <w:t>разделе 2</w:t>
        </w:r>
      </w:hyperlink>
      <w:r>
        <w:t>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Если организация в течение отчетного года получила денежные средства только от российских юридических лиц и (или) граждан Российской Федерации, то </w:t>
      </w:r>
      <w:hyperlink w:anchor="Par148" w:tooltip="Раздел 3. Использование денежных средств и иного имущества" w:history="1">
        <w:r>
          <w:rPr>
            <w:color w:val="0000FF"/>
          </w:rPr>
          <w:t>раздел 3</w:t>
        </w:r>
      </w:hyperlink>
      <w:r>
        <w:t xml:space="preserve"> не заполняется.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160" w:tooltip="52" w:history="1">
        <w:r>
          <w:rPr>
            <w:color w:val="0000FF"/>
          </w:rPr>
          <w:t>строке 52</w:t>
        </w:r>
      </w:hyperlink>
      <w:r>
        <w:t xml:space="preserve"> указываются данные о расходах по видам деятельности, определенным как основные в соответствии с </w:t>
      </w:r>
      <w:hyperlink r:id="rId22" w:history="1">
        <w:r>
          <w:rPr>
            <w:color w:val="0000FF"/>
          </w:rPr>
          <w:t>формой N ОР0001</w:t>
        </w:r>
      </w:hyperlink>
      <w:r>
        <w:t xml:space="preserve"> отчета, утвержденного приказом Минюста России от 30 сентября 2021 г. N 185 "О формах и сроках представления в Министерство юстиции Российской Федерации отчетности некоммерческих организаций".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163" w:tooltip="53" w:history="1">
        <w:r>
          <w:rPr>
            <w:color w:val="0000FF"/>
          </w:rPr>
          <w:t>строке 53</w:t>
        </w:r>
      </w:hyperlink>
      <w:r>
        <w:t xml:space="preserve"> указываются данные о расходах на социальную и благотворительную помощь в виде пособий, взносов, финансирования соответствующих программ, а также расходах на приобретение товаров, оплату услуг, которые предоставляются юридическим и физическим лицам в натуральной форме путем безвозмездной передачи в собственность продуктов, одежды, лекарственных препаратов, медицинских изделий, технических средств реабилитации и (или) иных вещей.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9. В </w:t>
      </w:r>
      <w:hyperlink w:anchor="Par175" w:tooltip="Раздел 4. &lt;1&gt; Численность, начисленная заработная плата," w:history="1">
        <w:r>
          <w:rPr>
            <w:color w:val="0000FF"/>
          </w:rPr>
          <w:t>Разделе 4</w:t>
        </w:r>
      </w:hyperlink>
      <w:r>
        <w:t xml:space="preserve"> "Численность, начисленная заработная плата, выплаты социального характера и страховые взносы на обязательное социальное страхование" сведения о занятых в осуществлении религиозной деятельности не отражаются.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186" w:tooltip="60" w:history="1">
        <w:r>
          <w:rPr>
            <w:color w:val="0000FF"/>
          </w:rPr>
          <w:t>строке 60</w:t>
        </w:r>
      </w:hyperlink>
      <w:r>
        <w:t xml:space="preserve"> указываются данные о среднесписочной численности работников (без внешних совместителей и работников несписочного состава).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По </w:t>
      </w:r>
      <w:hyperlink w:anchor="Par189" w:tooltip="61" w:history="1">
        <w:r>
          <w:rPr>
            <w:color w:val="0000FF"/>
          </w:rPr>
          <w:t>строке 61</w:t>
        </w:r>
      </w:hyperlink>
      <w:r>
        <w:t xml:space="preserve"> в фонд заработной платы включаются начисленные организациями суммы оплаты труда в денежной и неденежной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202" w:tooltip="65" w:history="1">
        <w:r>
          <w:rPr>
            <w:color w:val="0000FF"/>
          </w:rPr>
          <w:t>строке 65</w:t>
        </w:r>
      </w:hyperlink>
      <w:r>
        <w:t xml:space="preserve"> указываются данные о выплатах социального характера всех работников, которые включают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Подробные методологические указания по заполнению </w:t>
      </w:r>
      <w:hyperlink w:anchor="Par186" w:tooltip="60" w:history="1">
        <w:r>
          <w:rPr>
            <w:color w:val="0000FF"/>
          </w:rPr>
          <w:t>строк 60</w:t>
        </w:r>
      </w:hyperlink>
      <w:r>
        <w:t>-</w:t>
      </w:r>
      <w:hyperlink w:anchor="Par202" w:tooltip="65" w:history="1">
        <w:r>
          <w:rPr>
            <w:color w:val="0000FF"/>
          </w:rPr>
          <w:t>65</w:t>
        </w:r>
      </w:hyperlink>
      <w:r>
        <w:t xml:space="preserve"> формы изложены в </w:t>
      </w:r>
      <w:hyperlink r:id="rId23" w:history="1">
        <w:r>
          <w:rPr>
            <w:color w:val="0000FF"/>
          </w:rPr>
          <w:t>Указаниях</w:t>
        </w:r>
      </w:hyperlink>
      <w:r>
        <w:t xml:space="preserve">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организации", размещенных на официальном сайте Росстата в информационно-телекоммуникационной сети "Интернет" по адресу: https://rosstat.gov.ru/Главная страница/Респондентам/Формы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наблюдения/Поиск по формам/2022/П-4.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205" w:tooltip="66" w:history="1">
        <w:r>
          <w:rPr>
            <w:color w:val="0000FF"/>
          </w:rPr>
          <w:t>строке 66</w:t>
        </w:r>
      </w:hyperlink>
      <w:r>
        <w:t xml:space="preserve"> указываются данные о страховых и других взносах на обязательное пенсионное страхование; страховых взносах на обязательное социальное страхование на случай временной нетрудоспособности и в связи с материнством и детством; страховых взносах на обязательное медицинское страхование работающего населения; страховых взносах на обязательное страхование от несчастных случаев на производстве и профзаболеваний работников (включая работников списочного состава (без внешних совместителей), внешних совместителей, выполнявших работы по договорам гражданско-правового характера).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10. В </w:t>
      </w:r>
      <w:hyperlink w:anchor="Par211" w:tooltip="Раздел 5. &lt;1&gt; Наличие, движение и состав основных фондов," w:history="1">
        <w:r>
          <w:rPr>
            <w:color w:val="0000FF"/>
          </w:rPr>
          <w:t>Разделе 5</w:t>
        </w:r>
      </w:hyperlink>
      <w:r>
        <w:t xml:space="preserve"> "Наличие, движение и состав основных фондов" по </w:t>
      </w:r>
      <w:hyperlink w:anchor="Par230" w:tooltip="70" w:history="1">
        <w:r>
          <w:rPr>
            <w:color w:val="0000FF"/>
          </w:rPr>
          <w:t>строкам 70</w:t>
        </w:r>
      </w:hyperlink>
      <w:r>
        <w:t xml:space="preserve"> - </w:t>
      </w:r>
      <w:hyperlink w:anchor="Par266" w:tooltip="75" w:history="1">
        <w:r>
          <w:rPr>
            <w:color w:val="0000FF"/>
          </w:rPr>
          <w:t>75</w:t>
        </w:r>
      </w:hyperlink>
      <w:r>
        <w:t xml:space="preserve"> отражаются данные о наличии, движении и составе основных фондов. Состав основных фондов определен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основных фондов (ОКОФ) ОК 013-2014 (СНС 2008), введенным в действие с 1 января 2017 г.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Росстандарта от 12 декабря 2014 г. N 2018-ст.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224" w:tooltip="3" w:history="1">
        <w:r>
          <w:rPr>
            <w:color w:val="0000FF"/>
          </w:rPr>
          <w:t>графе 3</w:t>
        </w:r>
      </w:hyperlink>
      <w:r>
        <w:t xml:space="preserve"> указываются данные о наличии основных фондов на начало года по полной учетной стоимости.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225" w:tooltip="4" w:history="1">
        <w:r>
          <w:rPr>
            <w:color w:val="0000FF"/>
          </w:rPr>
          <w:t>графе 4</w:t>
        </w:r>
      </w:hyperlink>
      <w:r>
        <w:t xml:space="preserve"> указываются данные об увеличении полной учетной стоимости основных фондов за отчетный год за счет создания новой стоимости, то есть принятия к бухгалтерскому учету в отчетном году: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ввода в действие новых объектов основных фондов (не относившихся ранее к основным фондам) при их приобретении, сооружении и изготовлении;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внесения учредителями новых основных фондов в счет их вкладов в уставный (складочный) капитал;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получения по договору дарения и иных случаях безвозмездного получения; при других поступлениях;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достройки, модернизации, реконструкции имеющихся объектов основных фондов.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226" w:tooltip="5" w:history="1">
        <w:r>
          <w:rPr>
            <w:color w:val="0000FF"/>
          </w:rPr>
          <w:t>графе 5</w:t>
        </w:r>
      </w:hyperlink>
      <w:r>
        <w:t xml:space="preserve"> учитывается наличие основных фондов на конец года по полной учетной стоимости, в </w:t>
      </w:r>
      <w:hyperlink w:anchor="Par227" w:tooltip="6" w:history="1">
        <w:r>
          <w:rPr>
            <w:color w:val="0000FF"/>
          </w:rPr>
          <w:t>графе 6</w:t>
        </w:r>
      </w:hyperlink>
      <w:r>
        <w:t xml:space="preserve"> - по остаточной балансовой стоимости.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228" w:tooltip="7" w:history="1">
        <w:r>
          <w:rPr>
            <w:color w:val="0000FF"/>
          </w:rPr>
          <w:t>графе 7</w:t>
        </w:r>
      </w:hyperlink>
      <w:r>
        <w:t xml:space="preserve"> указываются данные об инвестициях в основной капитал: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</w:t>
      </w:r>
      <w:r>
        <w:lastRenderedPageBreak/>
        <w:t xml:space="preserve">которых осуществляется в порядке, установленном для учета вложений во внеоборотные активы, инвестиции в объекты интеллектуальной собственности; культивируемые биологические ресурсы. По данной </w:t>
      </w:r>
      <w:hyperlink w:anchor="Par228" w:tooltip="7" w:history="1">
        <w:r>
          <w:rPr>
            <w:color w:val="0000FF"/>
          </w:rPr>
          <w:t>графе</w:t>
        </w:r>
      </w:hyperlink>
      <w:r>
        <w:t xml:space="preserve"> также отражаются затраты на приобретение поступивших по импорту основных средств.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Под полной учетной стоимостью основных фондов некоммерческих организаций в статистике понимается их отражаемая в бухгалтерском учете первоначальная стоимость, измененная в ходе проведенных переоценок основных фондов и в других случаях, предусмотренных действующими нормативными актами по учету основных средств.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переоценки, то есть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ее изменения в результате достройки, дооборудования, реконструкции и частичной ликвидации.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Под остаточной балансовой стоимостью понимается разница их полной учетной стоимости и величины учетного износа, начисленного за весь период с начала эксплуатации соответствующих объектов, с учетом их изменения в результате проведенных переоценок основных фондов.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В </w:t>
      </w:r>
      <w:hyperlink w:anchor="Par230" w:tooltip="70" w:history="1">
        <w:r>
          <w:rPr>
            <w:color w:val="0000FF"/>
          </w:rPr>
          <w:t>строке 70</w:t>
        </w:r>
      </w:hyperlink>
      <w:r>
        <w:t xml:space="preserve"> указываются данные о всех основных фондах (за исключением земельных участков и объектов природопользования) организации, кроме незавершенных активов, находящиеся у нее на правах собственности, хозяйственного ведения, оперативного управления, договора аренды, договора финансовой аренды, и учитываемые ею на счетах учета основных средств, а также объекты интеллектуальной собственности.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По </w:t>
      </w:r>
      <w:hyperlink w:anchor="Par238" w:tooltip="71" w:history="1">
        <w:r>
          <w:rPr>
            <w:color w:val="0000FF"/>
          </w:rPr>
          <w:t>строкам 71</w:t>
        </w:r>
      </w:hyperlink>
      <w:r>
        <w:t xml:space="preserve"> - </w:t>
      </w:r>
      <w:hyperlink w:anchor="Par266" w:tooltip="75" w:history="1">
        <w:r>
          <w:rPr>
            <w:color w:val="0000FF"/>
          </w:rPr>
          <w:t>75</w:t>
        </w:r>
      </w:hyperlink>
      <w:r>
        <w:t xml:space="preserve"> все основные фонды организации распределяются по видовой структуре согласно </w:t>
      </w:r>
      <w:hyperlink r:id="rId26" w:history="1">
        <w:r>
          <w:rPr>
            <w:color w:val="0000FF"/>
          </w:rPr>
          <w:t>ОКОФ</w:t>
        </w:r>
      </w:hyperlink>
      <w:r>
        <w:t>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Данные по жилым и нежилым зданиям учитываются по </w:t>
      </w:r>
      <w:hyperlink w:anchor="Par238" w:tooltip="71" w:history="1">
        <w:r>
          <w:rPr>
            <w:color w:val="0000FF"/>
          </w:rPr>
          <w:t>строке 71</w:t>
        </w:r>
      </w:hyperlink>
      <w:r>
        <w:t>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Здания, учитываемые в составе основных фондов, имеют в качестве основных конструктивных частей стены и крышу. Определение жилых и нежилых зданий, как и других видов основных фондов, приведено во введении к </w:t>
      </w:r>
      <w:hyperlink r:id="rId27" w:history="1">
        <w:r>
          <w:rPr>
            <w:color w:val="0000FF"/>
          </w:rPr>
          <w:t>ОКОФ</w:t>
        </w:r>
      </w:hyperlink>
      <w:r>
        <w:t xml:space="preserve">. Помимо жилых и нежилых зданий по </w:t>
      </w:r>
      <w:hyperlink w:anchor="Par238" w:tooltip="71" w:history="1">
        <w:r>
          <w:rPr>
            <w:color w:val="0000FF"/>
          </w:rPr>
          <w:t>строке 71</w:t>
        </w:r>
      </w:hyperlink>
      <w:r>
        <w:t xml:space="preserve"> отражаются жилые и нежилые помещения, а также квартиры. При этом здания церквей, монастырей относятся к нежилым зданиям.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Данные по сооружениям учитываются по </w:t>
      </w:r>
      <w:hyperlink w:anchor="Par245" w:tooltip="72" w:history="1">
        <w:r>
          <w:rPr>
            <w:color w:val="0000FF"/>
          </w:rPr>
          <w:t>строке 72</w:t>
        </w:r>
      </w:hyperlink>
      <w:r>
        <w:t>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Примерами сооружений могут служить такие объекты, как автомобильные, железные дороги, плотины и другие гидротехнические сооружения; линии связи и электропередачи; местные трубопроводы и сооружения для отдыха, развлечений и проведения досуга.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>Сооружения являются объектами, прочно связанными с землей. Например, различного рода емкости для хранения различного рода веществ, установленные на фундаменты или иным способом прочно связанные с землей, относятся к сооружениям. Фундаменты под ними входят в состав данных сооружений.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lastRenderedPageBreak/>
        <w:t xml:space="preserve">По </w:t>
      </w:r>
      <w:hyperlink w:anchor="Par252" w:tooltip="73" w:history="1">
        <w:r>
          <w:rPr>
            <w:color w:val="0000FF"/>
          </w:rPr>
          <w:t>строке 73</w:t>
        </w:r>
      </w:hyperlink>
      <w:r>
        <w:t xml:space="preserve"> учитываются машины и оборудование, включая относящееся к оборудованию для информационно-телекоммуникационных технологий.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По </w:t>
      </w:r>
      <w:hyperlink w:anchor="Par259" w:tooltip="74" w:history="1">
        <w:r>
          <w:rPr>
            <w:color w:val="0000FF"/>
          </w:rPr>
          <w:t>строке 74</w:t>
        </w:r>
      </w:hyperlink>
      <w:r>
        <w:t xml:space="preserve"> учитываются транспортные средства, к которым, в соответствии с </w:t>
      </w:r>
      <w:hyperlink r:id="rId28" w:history="1">
        <w:r>
          <w:rPr>
            <w:color w:val="0000FF"/>
          </w:rPr>
          <w:t>ОКОФ</w:t>
        </w:r>
      </w:hyperlink>
      <w:r>
        <w:t>, относятся средства передвижения, предназначенные для перемещения людей и грузов: грузовые, легковые автомобили, тракторы, прицепы и полуприцепы, автобусы, локомотивы, вагоны, суда и прочие.</w:t>
      </w:r>
    </w:p>
    <w:p w:rsidR="00980BDB" w:rsidRDefault="00980BDB">
      <w:pPr>
        <w:pStyle w:val="ConsPlusNormal"/>
        <w:spacing w:before="240"/>
        <w:ind w:firstLine="540"/>
        <w:jc w:val="both"/>
      </w:pPr>
      <w:r>
        <w:t xml:space="preserve">По </w:t>
      </w:r>
      <w:hyperlink w:anchor="Par266" w:tooltip="75" w:history="1">
        <w:r>
          <w:rPr>
            <w:color w:val="0000FF"/>
          </w:rPr>
          <w:t>строке 75</w:t>
        </w:r>
      </w:hyperlink>
      <w:r>
        <w:t xml:space="preserve"> учитываются другие, не перечисленные в </w:t>
      </w:r>
      <w:hyperlink w:anchor="Par238" w:tooltip="71" w:history="1">
        <w:r>
          <w:rPr>
            <w:color w:val="0000FF"/>
          </w:rPr>
          <w:t>строках 71</w:t>
        </w:r>
      </w:hyperlink>
      <w:r>
        <w:t xml:space="preserve"> - </w:t>
      </w:r>
      <w:hyperlink w:anchor="Par259" w:tooltip="74" w:history="1">
        <w:r>
          <w:rPr>
            <w:color w:val="0000FF"/>
          </w:rPr>
          <w:t>74</w:t>
        </w:r>
      </w:hyperlink>
      <w:r>
        <w:t>, виды основных фондов. К ним относятся культивируемые биологические ресурсы, неоднократно дающие продукцию животного и растительного происхождения, объекты, относящиеся к интеллектуальной собственности и результатам интеллектуальной деятельности, расходы на улучшение и передачу прав на землю, хозяйственный инвентарь и прочие.</w:t>
      </w: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center"/>
        <w:outlineLvl w:val="2"/>
      </w:pPr>
      <w:r>
        <w:t>Контроль показателей формы:</w:t>
      </w:r>
    </w:p>
    <w:p w:rsidR="00980BDB" w:rsidRDefault="00980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9"/>
        <w:gridCol w:w="4520"/>
      </w:tblGrid>
      <w:tr w:rsidR="00980BDB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1. если заполнены стр. с </w:t>
            </w:r>
            <w:hyperlink w:anchor="Par186" w:tooltip="60" w:history="1">
              <w:r>
                <w:rPr>
                  <w:color w:val="0000FF"/>
                </w:rPr>
                <w:t>60</w:t>
              </w:r>
            </w:hyperlink>
            <w:r>
              <w:t xml:space="preserve"> по </w:t>
            </w:r>
            <w:hyperlink w:anchor="Par205" w:tooltip="66" w:history="1">
              <w:r>
                <w:rPr>
                  <w:color w:val="0000FF"/>
                </w:rPr>
                <w:t>66</w:t>
              </w:r>
            </w:hyperlink>
            <w:r>
              <w:t xml:space="preserve"> гр. 3 или стр. с </w:t>
            </w:r>
            <w:hyperlink w:anchor="Par230" w:tooltip="70" w:history="1">
              <w:r>
                <w:rPr>
                  <w:color w:val="0000FF"/>
                </w:rPr>
                <w:t>70</w:t>
              </w:r>
            </w:hyperlink>
            <w:r>
              <w:t xml:space="preserve"> по </w:t>
            </w:r>
            <w:hyperlink w:anchor="Par266" w:tooltip="75" w:history="1">
              <w:r>
                <w:rPr>
                  <w:color w:val="0000FF"/>
                </w:rPr>
                <w:t>75</w:t>
              </w:r>
            </w:hyperlink>
            <w:r>
              <w:t xml:space="preserve"> гр. 3, 4, 5, 6, 7, то должна быть обведена хотя бы одна строка с </w:t>
            </w:r>
            <w:hyperlink w:anchor="Par74" w:tooltip="01" w:history="1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ar96" w:tooltip="3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6. </w:t>
            </w:r>
            <w:hyperlink w:anchor="Par189" w:tooltip="61" w:history="1">
              <w:r>
                <w:rPr>
                  <w:color w:val="0000FF"/>
                </w:rPr>
                <w:t>стр. 61</w:t>
              </w:r>
            </w:hyperlink>
            <w:r>
              <w:t xml:space="preserve"> гр. 3 = сумме стр. с </w:t>
            </w:r>
            <w:hyperlink w:anchor="Par193" w:tooltip="62" w:history="1">
              <w:r>
                <w:rPr>
                  <w:color w:val="0000FF"/>
                </w:rPr>
                <w:t>62</w:t>
              </w:r>
            </w:hyperlink>
            <w:r>
              <w:t xml:space="preserve"> по </w:t>
            </w:r>
            <w:hyperlink w:anchor="Par199" w:tooltip="64" w:history="1">
              <w:r>
                <w:rPr>
                  <w:color w:val="0000FF"/>
                </w:rPr>
                <w:t>64</w:t>
              </w:r>
            </w:hyperlink>
            <w:r>
              <w:t xml:space="preserve"> гр. 3</w:t>
            </w:r>
          </w:p>
        </w:tc>
      </w:tr>
      <w:tr w:rsidR="00980BDB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2. </w:t>
            </w:r>
            <w:hyperlink w:anchor="Par123" w:tooltip="45" w:history="1">
              <w:r>
                <w:rPr>
                  <w:color w:val="0000FF"/>
                </w:rPr>
                <w:t>стр. 45</w:t>
              </w:r>
            </w:hyperlink>
            <w:r>
              <w:t xml:space="preserve"> гр. 3 = сумме стр. с </w:t>
            </w:r>
            <w:hyperlink w:anchor="Par127" w:tooltip="46" w:history="1">
              <w:r>
                <w:rPr>
                  <w:color w:val="0000FF"/>
                </w:rPr>
                <w:t>46</w:t>
              </w:r>
            </w:hyperlink>
            <w:r>
              <w:t xml:space="preserve"> по </w:t>
            </w:r>
            <w:hyperlink w:anchor="Par136" w:tooltip="49" w:history="1">
              <w:r>
                <w:rPr>
                  <w:color w:val="0000FF"/>
                </w:rPr>
                <w:t>49</w:t>
              </w:r>
            </w:hyperlink>
            <w:r>
              <w:t xml:space="preserve"> гр. 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7. </w:t>
            </w:r>
            <w:hyperlink w:anchor="Par230" w:tooltip="70" w:history="1">
              <w:r>
                <w:rPr>
                  <w:color w:val="0000FF"/>
                </w:rPr>
                <w:t>стр. 70</w:t>
              </w:r>
            </w:hyperlink>
            <w:r>
              <w:t xml:space="preserve"> гр. 3, 4, 5, 6, 7 = сумме стр. с </w:t>
            </w:r>
            <w:hyperlink w:anchor="Par238" w:tooltip="71" w:history="1">
              <w:r>
                <w:rPr>
                  <w:color w:val="0000FF"/>
                </w:rPr>
                <w:t>71</w:t>
              </w:r>
            </w:hyperlink>
            <w:r>
              <w:t xml:space="preserve"> по </w:t>
            </w:r>
            <w:hyperlink w:anchor="Par266" w:tooltip="75" w:history="1">
              <w:r>
                <w:rPr>
                  <w:color w:val="0000FF"/>
                </w:rPr>
                <w:t>75</w:t>
              </w:r>
            </w:hyperlink>
            <w:r>
              <w:t xml:space="preserve"> гр. 3, 4, 5, 6, 7</w:t>
            </w:r>
          </w:p>
        </w:tc>
      </w:tr>
      <w:tr w:rsidR="00980BDB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3. если </w:t>
            </w:r>
            <w:hyperlink w:anchor="Par130" w:tooltip="47" w:history="1">
              <w:r>
                <w:rPr>
                  <w:color w:val="0000FF"/>
                </w:rPr>
                <w:t>стр. 47</w:t>
              </w:r>
            </w:hyperlink>
            <w:r>
              <w:t xml:space="preserve"> + </w:t>
            </w:r>
            <w:hyperlink w:anchor="Par136" w:tooltip="49" w:history="1">
              <w:r>
                <w:rPr>
                  <w:color w:val="0000FF"/>
                </w:rPr>
                <w:t>49</w:t>
              </w:r>
            </w:hyperlink>
            <w:r>
              <w:t xml:space="preserve"> = 0, то </w:t>
            </w:r>
            <w:hyperlink w:anchor="Par123" w:tooltip="45" w:history="1">
              <w:r>
                <w:rPr>
                  <w:color w:val="0000FF"/>
                </w:rPr>
                <w:t>стр. 45</w:t>
              </w:r>
            </w:hyperlink>
            <w:r>
              <w:t xml:space="preserve">, </w:t>
            </w:r>
            <w:hyperlink w:anchor="Par139" w:tooltip="50" w:history="1"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w:anchor="Par142" w:tooltip="51" w:history="1"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w:anchor="Par160" w:tooltip="52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w:anchor="Par163" w:tooltip="53" w:history="1">
              <w:r>
                <w:rPr>
                  <w:color w:val="0000FF"/>
                </w:rPr>
                <w:t>53</w:t>
              </w:r>
            </w:hyperlink>
            <w:r>
              <w:t xml:space="preserve">, </w:t>
            </w:r>
            <w:hyperlink w:anchor="Par166" w:tooltip="54" w:history="1">
              <w:r>
                <w:rPr>
                  <w:color w:val="0000FF"/>
                </w:rPr>
                <w:t>54</w:t>
              </w:r>
            </w:hyperlink>
            <w:r>
              <w:t xml:space="preserve">, </w:t>
            </w:r>
            <w:hyperlink w:anchor="Par169" w:tooltip="55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w:anchor="Par172" w:tooltip="56" w:history="1">
              <w:r>
                <w:rPr>
                  <w:color w:val="0000FF"/>
                </w:rPr>
                <w:t>56</w:t>
              </w:r>
            </w:hyperlink>
            <w:r>
              <w:t xml:space="preserve"> гр. 3 = 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8. по стр. с </w:t>
            </w:r>
            <w:hyperlink w:anchor="Par230" w:tooltip="70" w:history="1">
              <w:r>
                <w:rPr>
                  <w:color w:val="0000FF"/>
                </w:rPr>
                <w:t>70</w:t>
              </w:r>
            </w:hyperlink>
            <w:r>
              <w:t xml:space="preserve"> по </w:t>
            </w:r>
            <w:hyperlink w:anchor="Par266" w:tooltip="75" w:history="1">
              <w:r>
                <w:rPr>
                  <w:color w:val="0000FF"/>
                </w:rPr>
                <w:t>75</w:t>
              </w:r>
            </w:hyperlink>
            <w:r>
              <w:t xml:space="preserve"> гр. 5 </w:t>
            </w:r>
            <w:r w:rsidR="00C02676">
              <w:rPr>
                <w:noProof/>
                <w:position w:val="-2"/>
              </w:rPr>
              <w:drawing>
                <wp:inline distT="0" distB="0" distL="0" distR="0">
                  <wp:extent cx="152400" cy="182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гр. 6</w:t>
            </w:r>
          </w:p>
        </w:tc>
      </w:tr>
      <w:tr w:rsidR="00980BDB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4. </w:t>
            </w:r>
            <w:hyperlink w:anchor="Par163" w:tooltip="53" w:history="1">
              <w:r>
                <w:rPr>
                  <w:color w:val="0000FF"/>
                </w:rPr>
                <w:t>стр. 53</w:t>
              </w:r>
            </w:hyperlink>
            <w:r>
              <w:t xml:space="preserve"> гр. 3 </w:t>
            </w:r>
            <w:r w:rsidR="00C02676">
              <w:rPr>
                <w:noProof/>
                <w:position w:val="-2"/>
              </w:rPr>
              <w:drawing>
                <wp:inline distT="0" distB="0" distL="0" distR="0">
                  <wp:extent cx="152400" cy="1828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ar166" w:tooltip="54" w:history="1">
              <w:r>
                <w:rPr>
                  <w:color w:val="0000FF"/>
                </w:rPr>
                <w:t>стр. 54</w:t>
              </w:r>
            </w:hyperlink>
            <w:r>
              <w:t xml:space="preserve"> гр. 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9. стр. с </w:t>
            </w:r>
            <w:hyperlink w:anchor="Par108" w:tooltip="40" w:history="1">
              <w:r>
                <w:rPr>
                  <w:color w:val="0000FF"/>
                </w:rPr>
                <w:t>40</w:t>
              </w:r>
            </w:hyperlink>
            <w:r>
              <w:t xml:space="preserve"> по </w:t>
            </w:r>
            <w:hyperlink w:anchor="Par266" w:tooltip="75" w:history="1">
              <w:r>
                <w:rPr>
                  <w:color w:val="0000FF"/>
                </w:rPr>
                <w:t>75</w:t>
              </w:r>
            </w:hyperlink>
            <w:r>
              <w:t xml:space="preserve"> </w:t>
            </w:r>
            <w:r w:rsidR="00C02676">
              <w:rPr>
                <w:noProof/>
                <w:position w:val="-2"/>
              </w:rPr>
              <w:drawing>
                <wp:inline distT="0" distB="0" distL="0" distR="0">
                  <wp:extent cx="152400" cy="1828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</w:t>
            </w:r>
          </w:p>
        </w:tc>
      </w:tr>
      <w:tr w:rsidR="00980BDB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  <w:jc w:val="both"/>
            </w:pPr>
            <w:r>
              <w:t xml:space="preserve">5. </w:t>
            </w:r>
            <w:hyperlink w:anchor="Par166" w:tooltip="54" w:history="1">
              <w:r>
                <w:rPr>
                  <w:color w:val="0000FF"/>
                </w:rPr>
                <w:t>стр. 54</w:t>
              </w:r>
            </w:hyperlink>
            <w:r>
              <w:t xml:space="preserve"> гр. 3 </w:t>
            </w:r>
            <w:r w:rsidR="00C02676">
              <w:rPr>
                <w:noProof/>
                <w:position w:val="-2"/>
              </w:rPr>
              <w:drawing>
                <wp:inline distT="0" distB="0" distL="0" distR="0">
                  <wp:extent cx="152400" cy="1828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ar169" w:tooltip="55" w:history="1">
              <w:r>
                <w:rPr>
                  <w:color w:val="0000FF"/>
                </w:rPr>
                <w:t>стр. 55</w:t>
              </w:r>
            </w:hyperlink>
            <w:r>
              <w:t xml:space="preserve"> гр. 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DB" w:rsidRDefault="00980BDB">
            <w:pPr>
              <w:pStyle w:val="ConsPlusNormal"/>
            </w:pPr>
          </w:p>
        </w:tc>
      </w:tr>
    </w:tbl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jc w:val="both"/>
      </w:pPr>
    </w:p>
    <w:p w:rsidR="00980BDB" w:rsidRDefault="00980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0BDB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07" w:rsidRDefault="00176007">
      <w:pPr>
        <w:spacing w:after="0" w:line="240" w:lineRule="auto"/>
      </w:pPr>
      <w:r>
        <w:separator/>
      </w:r>
    </w:p>
  </w:endnote>
  <w:endnote w:type="continuationSeparator" w:id="0">
    <w:p w:rsidR="00176007" w:rsidRDefault="0017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DB" w:rsidRDefault="00980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912" w:type="pct"/>
      <w:tblCellSpacing w:w="5" w:type="nil"/>
      <w:tblInd w:w="182" w:type="dxa"/>
      <w:tblCellMar>
        <w:left w:w="40" w:type="dxa"/>
        <w:right w:w="40" w:type="dxa"/>
      </w:tblCellMar>
      <w:tblLook w:val="0000"/>
    </w:tblPr>
    <w:tblGrid>
      <w:gridCol w:w="3211"/>
      <w:gridCol w:w="3499"/>
      <w:gridCol w:w="3396"/>
    </w:tblGrid>
    <w:tr w:rsidR="00980BDB" w:rsidTr="0063155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58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8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267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2676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80BDB" w:rsidRDefault="00980BD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DB" w:rsidRDefault="00980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980BD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2676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2676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80BDB" w:rsidRDefault="00980BDB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DB" w:rsidRDefault="00980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80BD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2676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2676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80BDB" w:rsidRDefault="00980BD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07" w:rsidRDefault="00176007">
      <w:pPr>
        <w:spacing w:after="0" w:line="240" w:lineRule="auto"/>
      </w:pPr>
      <w:r>
        <w:separator/>
      </w:r>
    </w:p>
  </w:footnote>
  <w:footnote w:type="continuationSeparator" w:id="0">
    <w:p w:rsidR="00176007" w:rsidRDefault="0017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80BD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18.10.2022 N 707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наблюдения с указаниями по ее зап...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80BDB" w:rsidRDefault="00980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0BDB" w:rsidRDefault="00980BD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980BD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18.10.2022 N 707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наблюдения с указаниями по ее зап...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80BDB" w:rsidRDefault="00980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0BDB" w:rsidRDefault="00980BD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80BD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18.10.2022 N 707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наблюдения с указаниями по ее зап...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0BDB" w:rsidRDefault="00980BD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80BDB" w:rsidRDefault="00980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0BDB" w:rsidRDefault="00980B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69D7"/>
    <w:rsid w:val="00176007"/>
    <w:rsid w:val="00475EFC"/>
    <w:rsid w:val="00631559"/>
    <w:rsid w:val="00980BDB"/>
    <w:rsid w:val="009C69D7"/>
    <w:rsid w:val="00C0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1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15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31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15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979&amp;date=15.12.2022" TargetMode="External"/><Relationship Id="rId13" Type="http://schemas.openxmlformats.org/officeDocument/2006/relationships/hyperlink" Target="https://login.consultant.ru/link/?req=doc&amp;base=LAW&amp;n=410706&amp;date=15.12.2022&amp;dst=1218&amp;field=134" TargetMode="External"/><Relationship Id="rId18" Type="http://schemas.openxmlformats.org/officeDocument/2006/relationships/hyperlink" Target="https://login.consultant.ru/link/?req=doc&amp;base=LAW&amp;n=433437&amp;date=15.12.2022&amp;dst=100200&amp;field=134" TargetMode="External"/><Relationship Id="rId26" Type="http://schemas.openxmlformats.org/officeDocument/2006/relationships/hyperlink" Target="https://login.consultant.ru/link/?req=doc&amp;base=LAW&amp;n=431076&amp;date=15.12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1970&amp;date=15.12.2022" TargetMode="External"/><Relationship Id="rId7" Type="http://schemas.openxmlformats.org/officeDocument/2006/relationships/hyperlink" Target="https://login.consultant.ru/link/?req=doc&amp;base=LAW&amp;n=426627&amp;date=15.12.2022&amp;dst=111474&amp;field=134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433457&amp;date=15.12.2022&amp;dst=100168&amp;field=134" TargetMode="External"/><Relationship Id="rId25" Type="http://schemas.openxmlformats.org/officeDocument/2006/relationships/hyperlink" Target="https://login.consultant.ru/link/?req=doc&amp;base=LAW&amp;n=189131&amp;date=15.12.202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025&amp;date=15.12.2022&amp;dst=100564&amp;field=134" TargetMode="External"/><Relationship Id="rId20" Type="http://schemas.openxmlformats.org/officeDocument/2006/relationships/hyperlink" Target="https://login.consultant.ru/link/?req=doc&amp;base=LAW&amp;n=377253&amp;date=15.12.2022&amp;dst=100012&amp;field=134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4985&amp;date=15.12.2022&amp;dst=100032&amp;field=134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LAW&amp;n=431076&amp;date=15.12.2022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0699&amp;date=15.12.2022&amp;dst=3760&amp;field=134" TargetMode="External"/><Relationship Id="rId23" Type="http://schemas.openxmlformats.org/officeDocument/2006/relationships/hyperlink" Target="https://login.consultant.ru/link/?req=doc&amp;base=LAW&amp;n=414165&amp;date=15.12.2022&amp;dst=100013&amp;field=134" TargetMode="External"/><Relationship Id="rId28" Type="http://schemas.openxmlformats.org/officeDocument/2006/relationships/hyperlink" Target="https://login.consultant.ru/link/?req=doc&amp;base=LAW&amp;n=431076&amp;date=15.12.202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377253&amp;date=15.12.2022&amp;dst=100012&amp;field=134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17955&amp;date=15.12.2022&amp;dst=215&amp;field=134" TargetMode="External"/><Relationship Id="rId22" Type="http://schemas.openxmlformats.org/officeDocument/2006/relationships/hyperlink" Target="https://login.consultant.ru/link/?req=doc&amp;base=LAW&amp;n=396649&amp;date=15.12.2022&amp;dst=100616&amp;field=134" TargetMode="External"/><Relationship Id="rId27" Type="http://schemas.openxmlformats.org/officeDocument/2006/relationships/hyperlink" Target="https://login.consultant.ru/link/?req=doc&amp;base=LAW&amp;n=431076&amp;date=15.12.2022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5200</Words>
  <Characters>29643</Characters>
  <Application>Microsoft Office Word</Application>
  <DocSecurity>2</DocSecurity>
  <Lines>247</Lines>
  <Paragraphs>69</Paragraphs>
  <ScaleCrop>false</ScaleCrop>
  <Company>КонсультантПлюс Версия 4022.00.09</Company>
  <LinksUpToDate>false</LinksUpToDate>
  <CharactersWithSpaces>34774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18.10.2022 N 707"Об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</dc:title>
  <dc:creator>Олег Трайнин</dc:creator>
  <cp:lastModifiedBy>Olga.Afanasieva</cp:lastModifiedBy>
  <cp:revision>2</cp:revision>
  <dcterms:created xsi:type="dcterms:W3CDTF">2022-12-29T09:49:00Z</dcterms:created>
  <dcterms:modified xsi:type="dcterms:W3CDTF">2022-12-29T09:49:00Z</dcterms:modified>
</cp:coreProperties>
</file>